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6C01" w14:textId="77777777" w:rsidR="00C0327C" w:rsidRDefault="009553EF" w:rsidP="00C0327C">
      <w:pPr>
        <w:rPr>
          <w:rFonts w:eastAsia="Times New Roman" w:cs="Arial Unicode MS"/>
          <w:bCs/>
          <w:noProof/>
          <w:sz w:val="44"/>
          <w:szCs w:val="44"/>
          <w:lang w:eastAsia="en-GB"/>
        </w:rPr>
      </w:pPr>
      <w:r>
        <w:rPr>
          <w:rFonts w:eastAsia="Times New Roman" w:cs="Arial Unicode MS"/>
          <w:bCs/>
          <w:noProof/>
          <w:color w:val="333399"/>
          <w:sz w:val="44"/>
          <w:szCs w:val="44"/>
          <w:lang w:eastAsia="en-GB"/>
        </w:rPr>
        <w:drawing>
          <wp:inline distT="0" distB="0" distL="0" distR="0" wp14:anchorId="09CFA5DB" wp14:editId="7E1A8073">
            <wp:extent cx="2042160" cy="1097280"/>
            <wp:effectExtent l="19050" t="0" r="0" b="0"/>
            <wp:docPr id="1" name="Picture 1" descr="L:\Marketing\Marketing scans\VITAX LOGOS\Vitax Ame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Marketing scans\VITAX LOGOS\Vitax Amen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33250" w14:textId="7A0F27C5" w:rsidR="000E3B10" w:rsidRDefault="00C0327C" w:rsidP="00C0327C">
      <w:pPr>
        <w:jc w:val="center"/>
        <w:rPr>
          <w:sz w:val="72"/>
          <w:szCs w:val="96"/>
        </w:rPr>
      </w:pPr>
      <w:r>
        <w:rPr>
          <w:rFonts w:eastAsia="Times New Roman" w:cs="Arial Unicode MS"/>
          <w:bCs/>
          <w:noProof/>
          <w:sz w:val="44"/>
          <w:szCs w:val="44"/>
          <w:lang w:eastAsia="en-GB"/>
        </w:rPr>
        <w:drawing>
          <wp:inline distT="0" distB="0" distL="0" distR="0" wp14:anchorId="59BEADF5" wp14:editId="03247A2E">
            <wp:extent cx="1447800" cy="609600"/>
            <wp:effectExtent l="19050" t="0" r="0" b="0"/>
            <wp:docPr id="4" name="Picture 4" descr="L:\Marketing\Marketing scans\VITAX LOGOS\Supatu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arketing\Marketing scans\VITAX LOGOS\Supatur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4B1B">
        <w:rPr>
          <w:noProof/>
          <w:sz w:val="72"/>
          <w:szCs w:val="96"/>
        </w:rPr>
        <w:drawing>
          <wp:inline distT="0" distB="0" distL="0" distR="0" wp14:anchorId="3275B33E" wp14:editId="3C86A370">
            <wp:extent cx="609600" cy="54875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omas Elliott logo (00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50" cy="57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327C" w14:paraId="2B98ADDA" w14:textId="77777777" w:rsidTr="00513B86">
        <w:trPr>
          <w:trHeight w:val="1550"/>
        </w:trPr>
        <w:tc>
          <w:tcPr>
            <w:tcW w:w="9242" w:type="dxa"/>
            <w:shd w:val="clear" w:color="auto" w:fill="538135" w:themeFill="accent6" w:themeFillShade="BF"/>
          </w:tcPr>
          <w:p w14:paraId="67F0AADC" w14:textId="25823CD9" w:rsidR="00C0327C" w:rsidRPr="00F9359B" w:rsidRDefault="00F9359B" w:rsidP="00F9359B">
            <w:pPr>
              <w:tabs>
                <w:tab w:val="left" w:pos="3720"/>
              </w:tabs>
              <w:jc w:val="center"/>
              <w:rPr>
                <w:color w:val="FFFFFF" w:themeColor="background1"/>
                <w:sz w:val="72"/>
                <w:szCs w:val="72"/>
              </w:rPr>
            </w:pPr>
            <w:r w:rsidRPr="00F9359B">
              <w:rPr>
                <w:color w:val="FFFFFF" w:themeColor="background1"/>
                <w:sz w:val="72"/>
                <w:szCs w:val="72"/>
              </w:rPr>
              <w:t>Amino-Sorb</w:t>
            </w:r>
            <w:r w:rsidRPr="00F9359B">
              <w:rPr>
                <w:rFonts w:cstheme="minorHAnsi"/>
                <w:color w:val="FFFFFF" w:themeColor="background1"/>
                <w:sz w:val="24"/>
                <w:szCs w:val="24"/>
              </w:rPr>
              <w:t>©</w:t>
            </w:r>
            <w:r w:rsidRPr="00F9359B">
              <w:rPr>
                <w:color w:val="FFFFFF" w:themeColor="background1"/>
                <w:sz w:val="72"/>
                <w:szCs w:val="72"/>
              </w:rPr>
              <w:t xml:space="preserve"> </w:t>
            </w:r>
          </w:p>
          <w:p w14:paraId="3F5E9C23" w14:textId="0AC67C85" w:rsidR="00F9359B" w:rsidRPr="0065613B" w:rsidRDefault="00F9359B" w:rsidP="00F9359B">
            <w:pPr>
              <w:tabs>
                <w:tab w:val="left" w:pos="3720"/>
              </w:tabs>
              <w:jc w:val="center"/>
              <w:rPr>
                <w:color w:val="FFFFFF" w:themeColor="background1"/>
                <w:sz w:val="52"/>
                <w:szCs w:val="52"/>
              </w:rPr>
            </w:pPr>
            <w:r>
              <w:rPr>
                <w:color w:val="FFFFFF" w:themeColor="background1"/>
                <w:sz w:val="52"/>
                <w:szCs w:val="52"/>
              </w:rPr>
              <w:t>Amino Acid Supplement</w:t>
            </w:r>
          </w:p>
        </w:tc>
      </w:tr>
    </w:tbl>
    <w:p w14:paraId="1B525472" w14:textId="37C875B4" w:rsidR="00C0327C" w:rsidRDefault="00C0327C" w:rsidP="00553A39">
      <w:pPr>
        <w:rPr>
          <w:b/>
        </w:rPr>
      </w:pPr>
    </w:p>
    <w:p w14:paraId="205841A7" w14:textId="0448E80C" w:rsidR="00F9359B" w:rsidRDefault="00F9359B" w:rsidP="00553A39">
      <w:pPr>
        <w:rPr>
          <w:b/>
          <w:u w:val="single"/>
        </w:rPr>
      </w:pPr>
      <w:r w:rsidRPr="00F9359B">
        <w:rPr>
          <w:b/>
          <w:sz w:val="40"/>
          <w:szCs w:val="40"/>
          <w:u w:val="single"/>
        </w:rPr>
        <w:t>What</w:t>
      </w:r>
    </w:p>
    <w:p w14:paraId="7BFAD039" w14:textId="0E1B565A" w:rsidR="00F9359B" w:rsidRDefault="00FC7722" w:rsidP="00553A39">
      <w:r w:rsidRPr="00FC7722">
        <w:t>Ava</w:t>
      </w:r>
      <w:r>
        <w:t>ilable in two differing formulations, either Amino-Sorb F, foliar absorption or Amino-Sorb R root absorption. Amino-Sorb is an Amino Acid formulation</w:t>
      </w:r>
      <w:r w:rsidR="000F56F6">
        <w:t xml:space="preserve"> which </w:t>
      </w:r>
      <w:r w:rsidR="00760E8B">
        <w:t>enhances such processes as Seed Germination, Root and Shoot growth.</w:t>
      </w:r>
    </w:p>
    <w:p w14:paraId="49CC6421" w14:textId="320164A7" w:rsidR="00760E8B" w:rsidRDefault="00760E8B" w:rsidP="00553A39">
      <w:r>
        <w:t>Amino Acids, are the precursors of Proteins necessary for many plant metabolic processes.</w:t>
      </w:r>
    </w:p>
    <w:p w14:paraId="7A7F1B7A" w14:textId="777935D2" w:rsidR="00760E8B" w:rsidRDefault="00760E8B" w:rsidP="00760E8B">
      <w:pPr>
        <w:pStyle w:val="ListParagraph"/>
        <w:numPr>
          <w:ilvl w:val="0"/>
          <w:numId w:val="10"/>
        </w:numPr>
      </w:pPr>
      <w:r>
        <w:t>Quickly absorbed through the plant’s foliage or roots.</w:t>
      </w:r>
    </w:p>
    <w:p w14:paraId="742A25D7" w14:textId="2D00E93D" w:rsidR="00760E8B" w:rsidRDefault="00760E8B" w:rsidP="00760E8B">
      <w:pPr>
        <w:pStyle w:val="ListParagraph"/>
        <w:numPr>
          <w:ilvl w:val="0"/>
          <w:numId w:val="10"/>
        </w:numPr>
      </w:pPr>
      <w:r>
        <w:t>Natural Organic molecules.</w:t>
      </w:r>
    </w:p>
    <w:p w14:paraId="2FD8D8C6" w14:textId="58C36236" w:rsidR="00760E8B" w:rsidRDefault="00760E8B" w:rsidP="00760E8B">
      <w:pPr>
        <w:pStyle w:val="ListParagraph"/>
        <w:numPr>
          <w:ilvl w:val="0"/>
          <w:numId w:val="10"/>
        </w:numPr>
      </w:pPr>
      <w:r>
        <w:t xml:space="preserve">Increases </w:t>
      </w:r>
      <w:r w:rsidR="00C83D20">
        <w:t>photosynthesis rate and Chlorophyll concentration.</w:t>
      </w:r>
    </w:p>
    <w:p w14:paraId="5A9B8529" w14:textId="5DEDCE60" w:rsidR="00235EA8" w:rsidRDefault="008E22C6" w:rsidP="00760E8B">
      <w:pPr>
        <w:pStyle w:val="ListParagraph"/>
        <w:numPr>
          <w:ilvl w:val="0"/>
          <w:numId w:val="10"/>
        </w:numPr>
      </w:pPr>
      <w:r>
        <w:t>Improves the efficiency of other turf treatments.</w:t>
      </w:r>
    </w:p>
    <w:p w14:paraId="7BADB1AC" w14:textId="07132C6B" w:rsidR="008E22C6" w:rsidRDefault="008E22C6" w:rsidP="008E22C6"/>
    <w:p w14:paraId="059BBBCC" w14:textId="189060A0" w:rsidR="008E22C6" w:rsidRDefault="008E22C6" w:rsidP="008E22C6">
      <w:pPr>
        <w:rPr>
          <w:b/>
          <w:sz w:val="40"/>
          <w:szCs w:val="40"/>
          <w:u w:val="single"/>
        </w:rPr>
      </w:pPr>
      <w:r w:rsidRPr="008E22C6">
        <w:rPr>
          <w:b/>
          <w:sz w:val="40"/>
          <w:szCs w:val="40"/>
          <w:u w:val="single"/>
        </w:rPr>
        <w:t>Why</w:t>
      </w:r>
    </w:p>
    <w:p w14:paraId="75D79FCE" w14:textId="68E47D74" w:rsidR="008E22C6" w:rsidRDefault="008E22C6" w:rsidP="008E22C6">
      <w:r>
        <w:t>Under normal conditions, plants synthesise their own amino acids. When the plant becomes stressed under conditions of draught, adverse temperature, disease or nutrient deficiency. Amino-Sorb provides the vital building blocks necessary for protein production</w:t>
      </w:r>
      <w:r w:rsidR="00A0534D">
        <w:t xml:space="preserve">. </w:t>
      </w:r>
      <w:r>
        <w:t xml:space="preserve"> </w:t>
      </w:r>
      <w:r w:rsidR="00A0534D">
        <w:t>S</w:t>
      </w:r>
      <w:r>
        <w:t xml:space="preserve">peeding the plants recovery by </w:t>
      </w:r>
      <w:r w:rsidR="00A0534D">
        <w:t>supplying</w:t>
      </w:r>
      <w:r>
        <w:t xml:space="preserve"> the Amino Acids </w:t>
      </w:r>
      <w:r w:rsidR="00A0534D">
        <w:t>that the plant would otherwise need to photosynthesise before protein production can commence.</w:t>
      </w:r>
    </w:p>
    <w:p w14:paraId="34493BB9" w14:textId="2355B3B3" w:rsidR="003B605F" w:rsidRDefault="003B605F" w:rsidP="00A0534D">
      <w:pPr>
        <w:pStyle w:val="ListParagraph"/>
        <w:numPr>
          <w:ilvl w:val="0"/>
          <w:numId w:val="11"/>
        </w:numPr>
      </w:pPr>
      <w:r>
        <w:t>Available in two formulations F for foliar application and R for root absorption.</w:t>
      </w:r>
    </w:p>
    <w:p w14:paraId="319EA61F" w14:textId="599E9865" w:rsidR="00A0534D" w:rsidRDefault="00A0534D" w:rsidP="00A0534D">
      <w:pPr>
        <w:pStyle w:val="ListParagraph"/>
        <w:numPr>
          <w:ilvl w:val="0"/>
          <w:numId w:val="11"/>
        </w:numPr>
      </w:pPr>
      <w:r>
        <w:t>Provides stress relief.</w:t>
      </w:r>
    </w:p>
    <w:p w14:paraId="3F958D63" w14:textId="6F128F9C" w:rsidR="00A0534D" w:rsidRDefault="00A0534D" w:rsidP="00A0534D">
      <w:pPr>
        <w:pStyle w:val="ListParagraph"/>
        <w:numPr>
          <w:ilvl w:val="0"/>
          <w:numId w:val="11"/>
        </w:numPr>
      </w:pPr>
      <w:r>
        <w:t>Promotes healthy root growth.</w:t>
      </w:r>
    </w:p>
    <w:p w14:paraId="361C341B" w14:textId="22C2C910" w:rsidR="00A0534D" w:rsidRDefault="00A0534D" w:rsidP="00A0534D">
      <w:pPr>
        <w:pStyle w:val="ListParagraph"/>
        <w:numPr>
          <w:ilvl w:val="0"/>
          <w:numId w:val="11"/>
        </w:numPr>
      </w:pPr>
      <w:r>
        <w:t>Encourages better moisture and nutrient uptake.</w:t>
      </w:r>
    </w:p>
    <w:p w14:paraId="2C15846E" w14:textId="69ABF0FF" w:rsidR="00A0534D" w:rsidRDefault="00A0534D" w:rsidP="00A0534D">
      <w:pPr>
        <w:pStyle w:val="ListParagraph"/>
        <w:numPr>
          <w:ilvl w:val="0"/>
          <w:numId w:val="11"/>
        </w:numPr>
      </w:pPr>
      <w:r>
        <w:t>Helps maintain turf quality by stimulating plant metabolism.</w:t>
      </w:r>
    </w:p>
    <w:p w14:paraId="1FEE590E" w14:textId="04495708" w:rsidR="00A0534D" w:rsidRDefault="00A0534D" w:rsidP="00A0534D">
      <w:pPr>
        <w:pStyle w:val="ListParagraph"/>
        <w:numPr>
          <w:ilvl w:val="0"/>
          <w:numId w:val="11"/>
        </w:numPr>
      </w:pPr>
      <w:r>
        <w:t>Increases photosynthesis and chlorophyll concentration.</w:t>
      </w:r>
    </w:p>
    <w:p w14:paraId="38929005" w14:textId="7CAAC750" w:rsidR="00A0534D" w:rsidRDefault="00A0534D" w:rsidP="00A0534D">
      <w:pPr>
        <w:pStyle w:val="ListParagraph"/>
        <w:numPr>
          <w:ilvl w:val="0"/>
          <w:numId w:val="11"/>
        </w:numPr>
      </w:pPr>
      <w:r>
        <w:t>Improves the efficiency of Herbicides and Fungicides.</w:t>
      </w:r>
    </w:p>
    <w:p w14:paraId="3EAD4604" w14:textId="29DB8E07" w:rsidR="00A0534D" w:rsidRDefault="00A0534D" w:rsidP="00A0534D">
      <w:pPr>
        <w:pStyle w:val="ListParagraph"/>
        <w:numPr>
          <w:ilvl w:val="0"/>
          <w:numId w:val="11"/>
        </w:numPr>
      </w:pPr>
      <w:r>
        <w:t>Enhances seed germination.</w:t>
      </w:r>
    </w:p>
    <w:p w14:paraId="66E47EA1" w14:textId="2BB843CA" w:rsidR="003B605F" w:rsidRDefault="003B605F" w:rsidP="003B605F">
      <w:r>
        <w:rPr>
          <w:b/>
          <w:sz w:val="40"/>
          <w:szCs w:val="40"/>
          <w:u w:val="single"/>
        </w:rPr>
        <w:lastRenderedPageBreak/>
        <w:t>When</w:t>
      </w:r>
    </w:p>
    <w:p w14:paraId="570D728D" w14:textId="30E4117A" w:rsidR="003B605F" w:rsidRDefault="003B605F" w:rsidP="003B605F">
      <w:r>
        <w:t xml:space="preserve">Suitable for all year round use or when stress conditions are prevalent. </w:t>
      </w:r>
    </w:p>
    <w:p w14:paraId="387F48DE" w14:textId="061B346F" w:rsidR="003B605F" w:rsidRDefault="003B605F" w:rsidP="003B605F"/>
    <w:p w14:paraId="5CB73A40" w14:textId="27C4460C" w:rsidR="003B605F" w:rsidRDefault="003B605F" w:rsidP="003B605F">
      <w:r>
        <w:rPr>
          <w:b/>
          <w:sz w:val="40"/>
          <w:szCs w:val="40"/>
          <w:u w:val="single"/>
        </w:rPr>
        <w:t xml:space="preserve">Application </w:t>
      </w:r>
    </w:p>
    <w:p w14:paraId="2FC00F2E" w14:textId="761322DC" w:rsidR="007D1AFE" w:rsidRDefault="007D1AFE" w:rsidP="003B605F"/>
    <w:p w14:paraId="572D593E" w14:textId="7E5C13D6" w:rsidR="007D1AFE" w:rsidRDefault="007D1AFE" w:rsidP="003B605F">
      <w:bookmarkStart w:id="0" w:name="_Hlk535848347"/>
      <w:r w:rsidRPr="007D1AFE">
        <w:rPr>
          <w:b/>
          <w:i/>
        </w:rPr>
        <w:t>Amino-Sorb F</w:t>
      </w:r>
    </w:p>
    <w:p w14:paraId="2D71FEF1" w14:textId="0AEECC6A" w:rsidR="007D1AFE" w:rsidRDefault="007D1AFE" w:rsidP="003B605F">
      <w:r>
        <w:t>All sports surfaces – 300 to 500ml /1000m</w:t>
      </w:r>
      <w:r>
        <w:rPr>
          <w:vertAlign w:val="superscript"/>
        </w:rPr>
        <w:t>2</w:t>
      </w:r>
      <w:r>
        <w:t xml:space="preserve"> in 30 to 50 litres of water (3 to 5 Litres / Hectare in 300 to 500 Litres of water)</w:t>
      </w:r>
    </w:p>
    <w:bookmarkEnd w:id="0"/>
    <w:p w14:paraId="0C83AB06" w14:textId="0624C17F" w:rsidR="007D1AFE" w:rsidRDefault="007D1AFE" w:rsidP="003B605F"/>
    <w:p w14:paraId="63B889D3" w14:textId="3758FB35" w:rsidR="007D1AFE" w:rsidRDefault="007D1AFE" w:rsidP="007D1AFE">
      <w:r w:rsidRPr="007D1AFE">
        <w:rPr>
          <w:b/>
          <w:i/>
        </w:rPr>
        <w:t xml:space="preserve">Amino-Sorb </w:t>
      </w:r>
      <w:r>
        <w:rPr>
          <w:b/>
          <w:i/>
        </w:rPr>
        <w:t>R</w:t>
      </w:r>
    </w:p>
    <w:p w14:paraId="398C5E2A" w14:textId="0C694FF6" w:rsidR="007D1AFE" w:rsidRDefault="007D1AFE" w:rsidP="007D1AFE">
      <w:r>
        <w:t xml:space="preserve">All sports surfaces – </w:t>
      </w:r>
      <w:r>
        <w:t xml:space="preserve">1 to 1.5 Litres </w:t>
      </w:r>
      <w:r>
        <w:t>/1000m</w:t>
      </w:r>
      <w:r>
        <w:rPr>
          <w:vertAlign w:val="superscript"/>
        </w:rPr>
        <w:t>2</w:t>
      </w:r>
      <w:r>
        <w:t xml:space="preserve"> in </w:t>
      </w:r>
      <w:r>
        <w:t xml:space="preserve">a minimum of </w:t>
      </w:r>
      <w:r>
        <w:t>50 litres of water (</w:t>
      </w:r>
      <w:r>
        <w:t>10</w:t>
      </w:r>
      <w:r>
        <w:t xml:space="preserve"> to </w:t>
      </w:r>
      <w:r>
        <w:t>1</w:t>
      </w:r>
      <w:r>
        <w:t xml:space="preserve">5 Litres / Hectare in </w:t>
      </w:r>
      <w:r>
        <w:t>a minimum of</w:t>
      </w:r>
      <w:r>
        <w:t xml:space="preserve"> 500 Litres of water)</w:t>
      </w:r>
    </w:p>
    <w:tbl>
      <w:tblPr>
        <w:tblpPr w:leftFromText="180" w:rightFromText="180" w:vertAnchor="text" w:horzAnchor="margin" w:tblpXSpec="center" w:tblpY="5861"/>
        <w:tblOverlap w:val="never"/>
        <w:tblW w:w="6629" w:type="dxa"/>
        <w:tblLook w:val="04A0" w:firstRow="1" w:lastRow="0" w:firstColumn="1" w:lastColumn="0" w:noHBand="0" w:noVBand="1"/>
      </w:tblPr>
      <w:tblGrid>
        <w:gridCol w:w="3408"/>
        <w:gridCol w:w="3221"/>
      </w:tblGrid>
      <w:tr w:rsidR="002C0536" w:rsidRPr="004E4FC6" w14:paraId="7306DF46" w14:textId="77777777" w:rsidTr="002C0536">
        <w:trPr>
          <w:trHeight w:val="2208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5E6AF" w14:textId="77777777" w:rsidR="002C0536" w:rsidRPr="004E4FC6" w:rsidRDefault="002C0536" w:rsidP="002C0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bookmarkStart w:id="1" w:name="_GoBack"/>
            <w:bookmarkEnd w:id="1"/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Thomas Elliott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 xml:space="preserve">Selby Place 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 xml:space="preserve">Stanley Industrial Estate 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 xml:space="preserve">Skelmersdale 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 xml:space="preserve">Lancashire 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>WN8 8EF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>info@thomas-elliott.co.uk</w:t>
            </w:r>
            <w:r w:rsidRPr="004E4FC6">
              <w:rPr>
                <w:rFonts w:ascii="Calibri" w:eastAsia="Times New Roman" w:hAnsi="Calibri" w:cstheme="minorHAns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br/>
              <w:t>01695 51863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993F" w14:textId="77777777" w:rsidR="002C0536" w:rsidRPr="004E4FC6" w:rsidRDefault="002C0536" w:rsidP="002C05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t>Vitax Amenity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Owen Street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Coalville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Leicester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LE67 3DE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info@vitax.co.uk</w:t>
            </w:r>
            <w:r w:rsidRPr="004E4FC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pacing w:val="5"/>
                <w:sz w:val="16"/>
                <w:szCs w:val="16"/>
                <w:lang w:eastAsia="en-GB"/>
              </w:rPr>
              <w:br/>
              <w:t>01530 510060</w:t>
            </w:r>
          </w:p>
        </w:tc>
      </w:tr>
    </w:tbl>
    <w:p w14:paraId="18FA84CA" w14:textId="77777777" w:rsidR="00BA2633" w:rsidRDefault="00BA2633" w:rsidP="007D1AFE"/>
    <w:p w14:paraId="4B1FE773" w14:textId="77777777" w:rsidR="007D1AFE" w:rsidRDefault="007D1AFE" w:rsidP="003B605F"/>
    <w:sectPr w:rsidR="007D1AFE" w:rsidSect="00902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56E"/>
    <w:multiLevelType w:val="hybridMultilevel"/>
    <w:tmpl w:val="BB7A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88A"/>
    <w:multiLevelType w:val="hybridMultilevel"/>
    <w:tmpl w:val="7F569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9F3"/>
    <w:multiLevelType w:val="hybridMultilevel"/>
    <w:tmpl w:val="2A02F7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4AF"/>
    <w:multiLevelType w:val="hybridMultilevel"/>
    <w:tmpl w:val="433846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71AD7"/>
    <w:multiLevelType w:val="hybridMultilevel"/>
    <w:tmpl w:val="7F76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84601"/>
    <w:multiLevelType w:val="hybridMultilevel"/>
    <w:tmpl w:val="987A0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775D6"/>
    <w:multiLevelType w:val="hybridMultilevel"/>
    <w:tmpl w:val="E9561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13921"/>
    <w:multiLevelType w:val="hybridMultilevel"/>
    <w:tmpl w:val="E4C8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301F"/>
    <w:multiLevelType w:val="hybridMultilevel"/>
    <w:tmpl w:val="4BEE5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51CA1"/>
    <w:multiLevelType w:val="hybridMultilevel"/>
    <w:tmpl w:val="B1766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D4498"/>
    <w:multiLevelType w:val="hybridMultilevel"/>
    <w:tmpl w:val="5A865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F"/>
    <w:rsid w:val="00001FDA"/>
    <w:rsid w:val="00016327"/>
    <w:rsid w:val="000207D0"/>
    <w:rsid w:val="00033C15"/>
    <w:rsid w:val="00050B2B"/>
    <w:rsid w:val="000937B2"/>
    <w:rsid w:val="000B0E6E"/>
    <w:rsid w:val="000C385C"/>
    <w:rsid w:val="000C5C77"/>
    <w:rsid w:val="000E3B10"/>
    <w:rsid w:val="000F0A72"/>
    <w:rsid w:val="000F56F6"/>
    <w:rsid w:val="00103B36"/>
    <w:rsid w:val="00164B16"/>
    <w:rsid w:val="001B3A29"/>
    <w:rsid w:val="001B4596"/>
    <w:rsid w:val="001D1F52"/>
    <w:rsid w:val="002027B1"/>
    <w:rsid w:val="00235EA8"/>
    <w:rsid w:val="00260ACC"/>
    <w:rsid w:val="00274580"/>
    <w:rsid w:val="00280F1D"/>
    <w:rsid w:val="002B07B9"/>
    <w:rsid w:val="002B72E6"/>
    <w:rsid w:val="002C0536"/>
    <w:rsid w:val="002D1F59"/>
    <w:rsid w:val="0036035E"/>
    <w:rsid w:val="003B605F"/>
    <w:rsid w:val="0049611C"/>
    <w:rsid w:val="00513B86"/>
    <w:rsid w:val="00547667"/>
    <w:rsid w:val="00553A39"/>
    <w:rsid w:val="0056041D"/>
    <w:rsid w:val="00585432"/>
    <w:rsid w:val="0065613B"/>
    <w:rsid w:val="00732D61"/>
    <w:rsid w:val="007514C0"/>
    <w:rsid w:val="00760E8B"/>
    <w:rsid w:val="007A16A4"/>
    <w:rsid w:val="007D1AFE"/>
    <w:rsid w:val="007D7B3B"/>
    <w:rsid w:val="0085034C"/>
    <w:rsid w:val="008A39A3"/>
    <w:rsid w:val="008E22C6"/>
    <w:rsid w:val="0090281B"/>
    <w:rsid w:val="00920C5E"/>
    <w:rsid w:val="009553EF"/>
    <w:rsid w:val="00963AFC"/>
    <w:rsid w:val="00976434"/>
    <w:rsid w:val="009771D9"/>
    <w:rsid w:val="00994F2D"/>
    <w:rsid w:val="009D64F4"/>
    <w:rsid w:val="00A0534D"/>
    <w:rsid w:val="00A20BC9"/>
    <w:rsid w:val="00A63A2E"/>
    <w:rsid w:val="00A73590"/>
    <w:rsid w:val="00A85455"/>
    <w:rsid w:val="00BA2633"/>
    <w:rsid w:val="00BB4481"/>
    <w:rsid w:val="00BF65B9"/>
    <w:rsid w:val="00C0327C"/>
    <w:rsid w:val="00C2323E"/>
    <w:rsid w:val="00C528E1"/>
    <w:rsid w:val="00C83D20"/>
    <w:rsid w:val="00CE27E8"/>
    <w:rsid w:val="00CF0C27"/>
    <w:rsid w:val="00D301BB"/>
    <w:rsid w:val="00D44E78"/>
    <w:rsid w:val="00D45DD8"/>
    <w:rsid w:val="00D5426D"/>
    <w:rsid w:val="00DD4B2C"/>
    <w:rsid w:val="00E60A30"/>
    <w:rsid w:val="00E82002"/>
    <w:rsid w:val="00E8260F"/>
    <w:rsid w:val="00E95FF6"/>
    <w:rsid w:val="00EC4627"/>
    <w:rsid w:val="00ED0C5D"/>
    <w:rsid w:val="00EF2902"/>
    <w:rsid w:val="00F34B1B"/>
    <w:rsid w:val="00F87628"/>
    <w:rsid w:val="00F9359B"/>
    <w:rsid w:val="00FC7722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4BA2"/>
  <w15:docId w15:val="{5F765362-5FDB-4560-9FD7-ECA130E9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C0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6ACD-01F0-4838-A40A-DF6B5C17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Wingfield</dc:creator>
  <cp:lastModifiedBy>Graham Wingfield</cp:lastModifiedBy>
  <cp:revision>2</cp:revision>
  <cp:lastPrinted>2018-02-28T12:44:00Z</cp:lastPrinted>
  <dcterms:created xsi:type="dcterms:W3CDTF">2019-01-21T16:36:00Z</dcterms:created>
  <dcterms:modified xsi:type="dcterms:W3CDTF">2019-01-21T16:36:00Z</dcterms:modified>
</cp:coreProperties>
</file>